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4" w:rsidRDefault="00BC5D84">
      <w:pPr>
        <w:pStyle w:val="normal"/>
        <w:spacing w:before="240" w:after="240"/>
        <w:rPr>
          <w:rFonts w:ascii="Times New Roman" w:eastAsia="Times New Roman" w:hAnsi="Times New Roman" w:cs="Times New Roman"/>
        </w:rPr>
      </w:pPr>
    </w:p>
    <w:p w:rsidR="00BC5D84" w:rsidRDefault="0076150A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D84" w:rsidRDefault="0076150A">
      <w:pPr>
        <w:pStyle w:val="normal"/>
        <w:ind w:left="3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BC5D84" w:rsidRDefault="0076150A">
      <w:pPr>
        <w:pStyle w:val="normal"/>
        <w:ind w:left="368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(указать орган внутренних дел: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РУВД, РОВД района, города)</w:t>
      </w:r>
      <w:proofErr w:type="gramEnd"/>
    </w:p>
    <w:p w:rsidR="00BC5D84" w:rsidRDefault="0076150A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D84" w:rsidRDefault="0076150A">
      <w:pPr>
        <w:pStyle w:val="normal"/>
        <w:spacing w:before="120"/>
        <w:ind w:left="3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Управление Следственного комитета Республики Беларусь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</w:t>
      </w:r>
    </w:p>
    <w:p w:rsidR="00BC5D84" w:rsidRDefault="0076150A">
      <w:pPr>
        <w:pStyle w:val="normal"/>
        <w:ind w:left="368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(указать область или г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.М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инск)</w:t>
      </w:r>
    </w:p>
    <w:p w:rsidR="00BC5D84" w:rsidRDefault="0076150A">
      <w:pPr>
        <w:pStyle w:val="normal"/>
        <w:ind w:left="368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</w:t>
      </w:r>
    </w:p>
    <w:p w:rsidR="00BC5D84" w:rsidRDefault="0076150A">
      <w:pPr>
        <w:pStyle w:val="normal"/>
        <w:spacing w:before="120"/>
        <w:ind w:left="3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Заявителей, чьи данные указаны в подписном листе к данному заявлению</w:t>
      </w:r>
    </w:p>
    <w:p w:rsidR="00BC5D84" w:rsidRDefault="0076150A">
      <w:pPr>
        <w:pStyle w:val="normal"/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C5D84" w:rsidRDefault="0076150A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 (в порядке ст. 168 УПК РБ)</w:t>
      </w:r>
    </w:p>
    <w:p w:rsidR="00BC5D84" w:rsidRDefault="0076150A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Мы, нижеподписавшиеся заявители, осуществляли голосование н</w:t>
      </w:r>
      <w:r>
        <w:rPr>
          <w:rFonts w:ascii="Times New Roman" w:eastAsia="Times New Roman" w:hAnsi="Times New Roman" w:cs="Times New Roman"/>
          <w:sz w:val="26"/>
          <w:szCs w:val="26"/>
        </w:rPr>
        <w:t>а выборах президента Республики Беларусь на участке для голосования №___ по ____________________________ (далее – Участок).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Исходя из собранной заявителями при совместном обсуждении информации, имеются основания полагать, что на Участке может быть осуществ</w:t>
      </w:r>
      <w:r>
        <w:rPr>
          <w:rFonts w:ascii="Times New Roman" w:eastAsia="Times New Roman" w:hAnsi="Times New Roman" w:cs="Times New Roman"/>
          <w:sz w:val="26"/>
          <w:szCs w:val="26"/>
        </w:rPr>
        <w:t>лен подлог документов по выборам, заведомо неправильный подсчет голосов либо иное искажение результатов голосования. Факты, которые служат основанием для подачи настоящего заявления (отметить только известные заявителям факты):</w:t>
      </w:r>
    </w:p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470"/>
        <w:gridCol w:w="7560"/>
      </w:tblGrid>
      <w:tr w:rsidR="00BC5D84" w:rsidTr="00982084">
        <w:trPr>
          <w:trHeight w:val="129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Отметить если было выявлено</w:t>
            </w:r>
            <w:proofErr w:type="gramEnd"/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Факты нарушения избирательного законодательства и иные факты и действия, которые могут свидетельствовать о возможном подлоге документов по выборам, заведомо неправильном подсчете голосов либо ином искажении результатов голосования</w:t>
            </w:r>
          </w:p>
        </w:tc>
      </w:tr>
      <w:tr w:rsidR="00BC5D84" w:rsidTr="00982084">
        <w:trPr>
          <w:trHeight w:val="5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 наблюдению за подсчетом голосов допущены не все наблюдатели</w:t>
            </w:r>
          </w:p>
        </w:tc>
      </w:tr>
      <w:tr w:rsidR="00BC5D84" w:rsidTr="00982084">
        <w:trPr>
          <w:trHeight w:val="11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списках избирателей были указаны лица, не имеющие права на участие в голосования на данном участке в частности ________________________________________________________ 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</w:t>
            </w:r>
          </w:p>
        </w:tc>
      </w:tr>
      <w:tr w:rsidR="00BC5D84" w:rsidTr="00982084">
        <w:trPr>
          <w:trHeight w:val="14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списках избирателей числятся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проголосовавшими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лица, не принимавшие участие в голосования на данном участке в частности 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</w:t>
            </w:r>
          </w:p>
        </w:tc>
      </w:tr>
      <w:tr w:rsidR="00BC5D84" w:rsidTr="00982084">
        <w:trPr>
          <w:trHeight w:val="8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Указанная в протоколах досрочного голосования явка избирателей превышает явку по данным наблюдателей</w:t>
            </w:r>
          </w:p>
        </w:tc>
      </w:tr>
      <w:tr w:rsidR="00BC5D84" w:rsidTr="00982084">
        <w:trPr>
          <w:trHeight w:val="11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 опроса заявителей об их выборе (только тех заявителей, кто воспользовался своим правом открыто заявить о своем выборе при подаче данного заявления) опровергают данные итогового протокола</w:t>
            </w:r>
          </w:p>
        </w:tc>
      </w:tr>
      <w:tr w:rsidR="00BC5D84" w:rsidTr="00982084">
        <w:trPr>
          <w:trHeight w:val="8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Поступили сведения о наличии в помещении комиссии либо в урнах для голосования подложных бюллетеней</w:t>
            </w:r>
          </w:p>
        </w:tc>
      </w:tr>
      <w:tr w:rsidR="00BC5D84" w:rsidTr="00982084">
        <w:trPr>
          <w:trHeight w:val="111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Поступили сведения о намерении членов комиссии осуществлять подсчет голосов с имитацией размещения бюллетеней согласно заранее доведенным процентам</w:t>
            </w:r>
          </w:p>
        </w:tc>
      </w:tr>
      <w:tr w:rsidR="00BC5D84" w:rsidTr="00982084">
        <w:trPr>
          <w:trHeight w:val="2135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 w:line="36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Иное ________________________________________________________________________________________________________________________________________________________________________</w:t>
            </w:r>
          </w:p>
        </w:tc>
      </w:tr>
    </w:tbl>
    <w:p w:rsidR="00BC5D84" w:rsidRDefault="0076150A" w:rsidP="00FA5114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ПРОСИМ:</w:t>
      </w:r>
    </w:p>
    <w:p w:rsidR="00BC5D84" w:rsidRDefault="0076150A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Провести проверку по факту совершенного деяния, подпадающего под признаки преступления, предусмотренного ст.192 УК Республики Беларусь, и принять решение в соответствии со статьей 174 УПК.</w:t>
      </w:r>
    </w:p>
    <w:p w:rsidR="00BC5D84" w:rsidRPr="004E1C76" w:rsidRDefault="0076150A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при подаче настоящего заявления принять неотложные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меры для предотвращения преступления, обеспечить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фотофиксацию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доказательств (в частности, списка избирателей с подписями), произвести изъятие вещественных доказательств, произвести опрос членов комиссии, наблюдателей, и иных очевидцев по известным фактам.</w:t>
      </w:r>
    </w:p>
    <w:p w:rsidR="004E1C76" w:rsidRDefault="004E1C76">
      <w:pPr>
        <w:pStyle w:val="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уголовной ответственности за совершение преступления, предусмотренного ст.400 УК (заведомо ложный донос), предупреждены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tbl>
      <w:tblPr>
        <w:tblStyle w:val="a6"/>
        <w:tblpPr w:leftFromText="180" w:rightFromText="180" w:vertAnchor="text" w:horzAnchor="margin" w:tblpY="238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45"/>
        <w:gridCol w:w="2760"/>
        <w:gridCol w:w="1755"/>
        <w:gridCol w:w="1771"/>
      </w:tblGrid>
      <w:tr w:rsidR="00C37BFF" w:rsidTr="004E1C76">
        <w:trPr>
          <w:trHeight w:val="935"/>
        </w:trPr>
        <w:tc>
          <w:tcPr>
            <w:tcW w:w="90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заявителей, избирателей Участка, подающих заявление о проведении проверки на предмет наличия признаков преступления, предусмотренного ст. 192 УК, об ответственности за заведомо ложный донос (ст. 400 УК) предупреждены:</w:t>
            </w:r>
          </w:p>
        </w:tc>
      </w:tr>
      <w:tr w:rsidR="00C37BFF" w:rsidTr="004E1C76">
        <w:trPr>
          <w:trHeight w:val="153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заявителя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и телефон заявителя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голосования и  кандидат, за которого голосовал заявителя (прочерк при нежелании разглашать тайну голосования)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Подпись заявителя (проставляется непосредственно перед подачей заявления после подтверждения сведений</w:t>
            </w:r>
            <w:proofErr w:type="gramEnd"/>
          </w:p>
        </w:tc>
      </w:tr>
      <w:tr w:rsidR="00C37BFF" w:rsidTr="004E1C76">
        <w:trPr>
          <w:trHeight w:val="137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7BFF" w:rsidRP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37BFF" w:rsidTr="004E1C76">
        <w:trPr>
          <w:trHeight w:val="176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7BFF" w:rsidRP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37BFF" w:rsidTr="004E1C76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7BFF" w:rsidRP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7BFF" w:rsidRDefault="00C37BFF" w:rsidP="004E1C76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BC5D84" w:rsidRPr="00FA5114" w:rsidRDefault="00BC5D84" w:rsidP="004E1C76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AE010C" w:rsidRDefault="00AE010C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1C76" w:rsidRDefault="004E1C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br w:type="page"/>
      </w:r>
    </w:p>
    <w:tbl>
      <w:tblPr>
        <w:tblStyle w:val="a6"/>
        <w:tblpPr w:leftFromText="180" w:rightFromText="180" w:vertAnchor="text" w:horzAnchor="margin" w:tblpY="238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45"/>
        <w:gridCol w:w="2760"/>
        <w:gridCol w:w="1755"/>
        <w:gridCol w:w="1771"/>
      </w:tblGrid>
      <w:tr w:rsidR="004E1C76" w:rsidTr="00BC0FDA">
        <w:trPr>
          <w:trHeight w:val="935"/>
        </w:trPr>
        <w:tc>
          <w:tcPr>
            <w:tcW w:w="90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Данные заявителей, избирателей Участка, подающих заявление о проведении проверки на предмет наличия признаков преступления, предусмотренного ст. 192 УК, об ответственности за заведомо ложный донос (ст. 400 УК) предупреждены:</w:t>
            </w:r>
          </w:p>
        </w:tc>
      </w:tr>
      <w:tr w:rsidR="004E1C76" w:rsidTr="00BC0FDA">
        <w:trPr>
          <w:trHeight w:val="153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заявителя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и телефон заявителя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голосования и  кандидат, за которого голосовал заявителя (прочерк при нежелании разглашать тайну голосования)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Подпись заявителя (проставляется непосредственно перед подачей заявления после подтверждения сведений</w:t>
            </w:r>
            <w:proofErr w:type="gramEnd"/>
          </w:p>
        </w:tc>
      </w:tr>
      <w:tr w:rsidR="004E1C76" w:rsidTr="00BC0FDA">
        <w:trPr>
          <w:trHeight w:val="137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E1C76" w:rsidRP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1C76" w:rsidTr="00BC0FDA">
        <w:trPr>
          <w:trHeight w:val="176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E1C76" w:rsidRP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1C76" w:rsidTr="00BC0FDA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E1C76" w:rsidRP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4E1C76" w:rsidTr="00BC0FDA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</w:tr>
      <w:tr w:rsidR="004E1C76" w:rsidTr="00BC0FDA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E1C76" w:rsidRDefault="004E1C76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</w:tr>
    </w:tbl>
    <w:p w:rsidR="004E1C76" w:rsidRPr="004E1C76" w:rsidRDefault="004E1C7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BC5D84" w:rsidRDefault="00BC5D84" w:rsidP="004E1C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4E1C76" w:rsidRDefault="004E1C76" w:rsidP="004E1C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br w:type="page"/>
      </w:r>
    </w:p>
    <w:p w:rsidR="00AE010C" w:rsidRPr="004E1C76" w:rsidRDefault="00AE010C" w:rsidP="00AE010C">
      <w:pPr>
        <w:pageBreakBefore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C5D84" w:rsidRDefault="0076150A" w:rsidP="00AE010C">
      <w:pPr>
        <w:pStyle w:val="normal"/>
        <w:ind w:left="3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</w:p>
    <w:p w:rsidR="00BC5D84" w:rsidRDefault="0076150A" w:rsidP="00AE010C">
      <w:pPr>
        <w:pStyle w:val="normal"/>
        <w:ind w:left="3680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        (указать орган, в который было подано первоначальное заявление)</w:t>
      </w:r>
    </w:p>
    <w:p w:rsidR="00BC5D84" w:rsidRDefault="0076150A">
      <w:pPr>
        <w:pStyle w:val="normal"/>
        <w:spacing w:before="120"/>
        <w:ind w:left="3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Заявителей, чьи данные указаны в подписном листе к данному заявлению</w:t>
      </w:r>
    </w:p>
    <w:p w:rsidR="00BC5D84" w:rsidRDefault="0076150A">
      <w:pPr>
        <w:pStyle w:val="normal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5D84" w:rsidRDefault="0076150A">
      <w:pPr>
        <w:pStyle w:val="normal"/>
        <w:spacing w:before="2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ДОПОЛНЕНИЕ К ЗАЯВЛЕНИЮ (в порядке ст. 168 УПК РБ)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Мы, нижеподписавшиеся заявители, осуществляли голосование на выборах президента Республики Беларусь на участке для голосования №___ по ____________________________ (далее – Участок), считаем необходимым присоединиться к заявлению, поданному группой избират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елей Участка __.08.2020 г., в частности гражданином __________________________________________ и другими. Поддерживаем доводы, указанные в заявление, просим считать нас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со-заявителями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и предоставляем информацию о себе:</w:t>
      </w:r>
    </w:p>
    <w:p w:rsidR="00EB4AFC" w:rsidRPr="00EB4AFC" w:rsidRDefault="00EB4AFC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tbl>
      <w:tblPr>
        <w:tblStyle w:val="a7"/>
        <w:tblW w:w="88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745"/>
        <w:gridCol w:w="2760"/>
        <w:gridCol w:w="1755"/>
        <w:gridCol w:w="1605"/>
      </w:tblGrid>
      <w:tr w:rsidR="00BC5D84" w:rsidTr="00824AB6">
        <w:trPr>
          <w:trHeight w:val="935"/>
        </w:trPr>
        <w:tc>
          <w:tcPr>
            <w:tcW w:w="886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заявителей, избирателей Участка, подающих заявление о проведении проверки на предмет наличия признаков преступления, предусмотренного ст. 192 УК, об ответственности за заведомо ложный донос (ст. 400 УК) предупреждены:</w:t>
            </w:r>
          </w:p>
        </w:tc>
      </w:tr>
      <w:tr w:rsidR="00BC5D84" w:rsidTr="00824AB6">
        <w:trPr>
          <w:trHeight w:val="153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заявителя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Адрес и телефон </w:t>
            </w:r>
            <w:r>
              <w:rPr>
                <w:b/>
                <w:sz w:val="16"/>
                <w:szCs w:val="16"/>
              </w:rPr>
              <w:t>заявителя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голосования и  кандидат, за которого голосовал заявителя (прочерк при нежелании разглашать тайну голосования)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Подпись заявителя (проставляется непосредственно перед подачей заявления после подтверждения сведений</w:t>
            </w:r>
            <w:proofErr w:type="gramEnd"/>
          </w:p>
        </w:tc>
      </w:tr>
      <w:tr w:rsidR="00BC5D84" w:rsidTr="007D323A">
        <w:trPr>
          <w:trHeight w:val="1471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Pr="007D323A" w:rsidRDefault="00BC5D84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</w:p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5D84" w:rsidRDefault="0076150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D323A" w:rsidTr="007D323A">
        <w:trPr>
          <w:trHeight w:val="1471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Pr="007D323A" w:rsidRDefault="007D323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</w:tr>
    </w:tbl>
    <w:p w:rsidR="00BC5D84" w:rsidRPr="007D323A" w:rsidRDefault="00BC5D84" w:rsidP="00AE010C">
      <w:pPr>
        <w:pStyle w:val="normal"/>
        <w:pageBreakBefore/>
        <w:spacing w:before="240" w:after="240"/>
        <w:rPr>
          <w:b/>
          <w:lang w:val="ru-RU"/>
        </w:rPr>
      </w:pPr>
    </w:p>
    <w:tbl>
      <w:tblPr>
        <w:tblStyle w:val="a6"/>
        <w:tblpPr w:leftFromText="180" w:rightFromText="180" w:vertAnchor="text" w:horzAnchor="margin" w:tblpY="238"/>
        <w:tblW w:w="903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745"/>
        <w:gridCol w:w="2760"/>
        <w:gridCol w:w="1755"/>
        <w:gridCol w:w="1771"/>
      </w:tblGrid>
      <w:tr w:rsidR="007D323A" w:rsidTr="00BC0FDA">
        <w:trPr>
          <w:trHeight w:val="935"/>
        </w:trPr>
        <w:tc>
          <w:tcPr>
            <w:tcW w:w="90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 заявителей, избирателей Участка, подающих заявление о проведении проверки на предмет наличия признаков преступления, предусмотренного ст. 192 УК, об ответственности за заведомо ложный донос (ст. 400 УК) предупреждены:</w:t>
            </w:r>
          </w:p>
        </w:tc>
      </w:tr>
      <w:tr w:rsidR="007D323A" w:rsidTr="00BC0FDA">
        <w:trPr>
          <w:trHeight w:val="1535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ФИО заявителя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Адрес и телефон заявителя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голосования и  кандидат, за которого голосовал заявителя (прочерк при нежелании разглашать тайну голосования)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Подпись заявителя (проставляется непосредственно перед подачей заявления после подтверждения сведений</w:t>
            </w:r>
            <w:proofErr w:type="gramEnd"/>
          </w:p>
        </w:tc>
      </w:tr>
      <w:tr w:rsidR="007D323A" w:rsidTr="00BC0FDA">
        <w:trPr>
          <w:trHeight w:val="137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D323A" w:rsidRPr="004E1C76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D323A" w:rsidTr="00BC0FDA">
        <w:trPr>
          <w:trHeight w:val="1764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D323A" w:rsidRPr="004E1C76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D323A" w:rsidTr="00BC0FDA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D323A" w:rsidRPr="004E1C76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7D323A" w:rsidTr="00BC0FDA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</w:tr>
      <w:tr w:rsidR="007D323A" w:rsidTr="00BC0FDA">
        <w:trPr>
          <w:trHeight w:val="1352"/>
        </w:trPr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  <w:tc>
          <w:tcPr>
            <w:tcW w:w="17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323A" w:rsidRDefault="007D323A" w:rsidP="00BC0FDA">
            <w:pPr>
              <w:pStyle w:val="normal"/>
              <w:spacing w:before="240"/>
              <w:rPr>
                <w:b/>
                <w:sz w:val="16"/>
                <w:szCs w:val="16"/>
              </w:rPr>
            </w:pPr>
          </w:p>
        </w:tc>
      </w:tr>
    </w:tbl>
    <w:p w:rsidR="00BC5D84" w:rsidRPr="00AE010C" w:rsidRDefault="00BC5D84" w:rsidP="0076150A">
      <w:pPr>
        <w:pageBreakBefore/>
        <w:rPr>
          <w:b/>
          <w:lang w:val="ru-RU"/>
        </w:rPr>
      </w:pPr>
    </w:p>
    <w:p w:rsidR="00BC5D84" w:rsidRPr="00304C9F" w:rsidRDefault="00BC5D84">
      <w:pPr>
        <w:pStyle w:val="normal"/>
        <w:spacing w:before="240" w:after="240"/>
        <w:rPr>
          <w:b/>
          <w:lang w:val="ru-RU"/>
        </w:rPr>
      </w:pP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_________________________________________ </w:t>
      </w:r>
      <w:r>
        <w:rPr>
          <w:rFonts w:ascii="Times New Roman" w:eastAsia="Times New Roman" w:hAnsi="Times New Roman" w:cs="Times New Roman"/>
          <w:sz w:val="26"/>
          <w:szCs w:val="26"/>
        </w:rPr>
        <w:t>(указать администрацию, исполком, образовавший участковую комиссию)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Центральная избирательная комиссия Республики Беларусь по выборам и проведению республиканских референдумов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Генеральная прокуратура Республики Беларусь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Следственный комитет Республики Беларусь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Избирателя _________________________________________</w:t>
      </w: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</w:t>
      </w:r>
    </w:p>
    <w:p w:rsidR="00BC5D84" w:rsidRDefault="00BC5D84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5D84" w:rsidRDefault="0076150A">
      <w:pPr>
        <w:pStyle w:val="normal"/>
        <w:ind w:left="368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Адрес, телефон _________________________________________</w:t>
      </w:r>
    </w:p>
    <w:p w:rsidR="00BC5D84" w:rsidRDefault="0076150A">
      <w:pPr>
        <w:pStyle w:val="normal"/>
        <w:ind w:left="3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</w:t>
      </w:r>
    </w:p>
    <w:p w:rsidR="00BC5D84" w:rsidRDefault="0076150A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D84" w:rsidRDefault="0076150A">
      <w:pPr>
        <w:pStyle w:val="normal"/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BC5D84" w:rsidRDefault="0076150A">
      <w:pPr>
        <w:pStyle w:val="normal"/>
        <w:spacing w:before="2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Я осуществлял голосование на выборах президента Республики Беларусь на участке для голосования №___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____________________________ (далее – Участок). Мною и иными избирателями участка по фактам нарушения избирательного законодательства было подано заявление в правоохранительные органы на предмет проведения проверки по признакам состава преступления, пр</w:t>
      </w:r>
      <w:r>
        <w:rPr>
          <w:rFonts w:ascii="Times New Roman" w:eastAsia="Times New Roman" w:hAnsi="Times New Roman" w:cs="Times New Roman"/>
          <w:sz w:val="26"/>
          <w:szCs w:val="26"/>
        </w:rPr>
        <w:t>едусмотренного ст. 192 Уголовного кодекса Республики Беларусь. Уведомляю уполномоченные государственные органы о факте подачи данного заявления, прилагаю копию поданного заявления, и прошу принять неотложные меры в соответствии с компетенцией каждого из го</w:t>
      </w:r>
      <w:r>
        <w:rPr>
          <w:rFonts w:ascii="Times New Roman" w:eastAsia="Times New Roman" w:hAnsi="Times New Roman" w:cs="Times New Roman"/>
          <w:sz w:val="26"/>
          <w:szCs w:val="26"/>
        </w:rPr>
        <w:t>сударственных органов.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D84" w:rsidRDefault="0076150A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Данное заявление направляется в исполнительный орган, образовавший комиссию по выборам на участке. Согласно ст. 55 Избирательного кодекса, в</w:t>
      </w:r>
      <w:r>
        <w:rPr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случае обнаружения органом, образовавшим комиссию, нарушений требований настоящего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иных актов законодательства Республики Беларусь, допущенных в ходе голосования или при подсчете голосов, об этом немедленно сообщается соответствующей вышестоящей избирательной комиссии или Центральной комиссии. Просим сообщить в установленном порядке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фактах нарушений. 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список избирателей не был изъят в участковой комиссии, прошу передать в правоохранительные органы список избирателей с подписями избирателей, принявших участие в голосовании (согласно ст.ст. 52, 155-1 Избирательного кодекс</w:t>
      </w:r>
      <w:r>
        <w:rPr>
          <w:rFonts w:ascii="Times New Roman" w:eastAsia="Times New Roman" w:hAnsi="Times New Roman" w:cs="Times New Roman"/>
          <w:sz w:val="26"/>
          <w:szCs w:val="26"/>
        </w:rPr>
        <w:t>а данный список содержит подпись каждого проголосовавшего избирателя и хранится в органе, образовавшем комиссию до следующих выборов президента).</w:t>
      </w:r>
    </w:p>
    <w:p w:rsidR="00BC5D84" w:rsidRDefault="0076150A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Данное заявление направляется в Центральную комиссию для принятия к сведению и проведения повторного подсчета </w:t>
      </w:r>
      <w:r>
        <w:rPr>
          <w:rFonts w:ascii="Times New Roman" w:eastAsia="Times New Roman" w:hAnsi="Times New Roman" w:cs="Times New Roman"/>
          <w:sz w:val="26"/>
          <w:szCs w:val="26"/>
        </w:rPr>
        <w:t>голосов на участке (в случае проведения проверки о действительности данных лиц, указанных в качестве проголосовавших). При отсутствии возможности проверки данных о лицах, указанных в качестве проголосовавших, прошу признать выборы на Участке недействительн</w:t>
      </w:r>
      <w:r>
        <w:rPr>
          <w:rFonts w:ascii="Times New Roman" w:eastAsia="Times New Roman" w:hAnsi="Times New Roman" w:cs="Times New Roman"/>
          <w:sz w:val="26"/>
          <w:szCs w:val="26"/>
        </w:rPr>
        <w:t>ыми (ст. 79 Избирательного кодекса).</w:t>
      </w:r>
    </w:p>
    <w:p w:rsidR="00BC5D84" w:rsidRDefault="0076150A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Данное заявление направляется в Генеральную прокуратуру Республики Беларусь для принятия неотложных мер прокурорского реагирования, в том числе – направления предписаний, обязательных для государственных органов, а такж</w:t>
      </w:r>
      <w:r>
        <w:rPr>
          <w:rFonts w:ascii="Times New Roman" w:eastAsia="Times New Roman" w:hAnsi="Times New Roman" w:cs="Times New Roman"/>
          <w:sz w:val="26"/>
          <w:szCs w:val="26"/>
        </w:rPr>
        <w:t>е для вынесения постановлений о возбуждении уголовных дел (ст. 27 Закона о Прокуратуре Республики Беларусь).</w:t>
      </w:r>
    </w:p>
    <w:p w:rsidR="00BC5D84" w:rsidRDefault="0076150A">
      <w:pPr>
        <w:pStyle w:val="normal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Данное заявление направляется в Следственный комитет Республики Беларусь для организации и осуществления проверки заявлений и сообщений о преступле</w:t>
      </w:r>
      <w:r>
        <w:rPr>
          <w:rFonts w:ascii="Times New Roman" w:eastAsia="Times New Roman" w:hAnsi="Times New Roman" w:cs="Times New Roman"/>
          <w:sz w:val="26"/>
          <w:szCs w:val="26"/>
        </w:rPr>
        <w:t>ниях (ст. 10 Закона о Следственном комитете Республики Беларусь).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D84" w:rsidRDefault="0076150A">
      <w:pPr>
        <w:pStyle w:val="normal"/>
        <w:spacing w:before="240"/>
        <w:ind w:firstLine="3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Приложение:</w:t>
      </w:r>
    </w:p>
    <w:p w:rsidR="00BC5D84" w:rsidRDefault="0076150A">
      <w:pPr>
        <w:pStyle w:val="normal"/>
        <w:ind w:left="1060" w:hanging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      Копия коллективного заявления</w:t>
      </w:r>
    </w:p>
    <w:p w:rsidR="00BC5D84" w:rsidRDefault="0076150A">
      <w:pPr>
        <w:pStyle w:val="normal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5D84" w:rsidRDefault="0076150A">
      <w:pPr>
        <w:pStyle w:val="normal"/>
        <w:spacing w:before="24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___.___.2020 г.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_______________________</w:t>
      </w:r>
    </w:p>
    <w:sectPr w:rsidR="00BC5D84" w:rsidSect="00BC5D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F0D"/>
    <w:multiLevelType w:val="multilevel"/>
    <w:tmpl w:val="7696F7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06257"/>
    <w:multiLevelType w:val="multilevel"/>
    <w:tmpl w:val="BCE4F92E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D84"/>
    <w:rsid w:val="00023CDA"/>
    <w:rsid w:val="002206A4"/>
    <w:rsid w:val="00291942"/>
    <w:rsid w:val="00304C9F"/>
    <w:rsid w:val="004E1C76"/>
    <w:rsid w:val="00535AB9"/>
    <w:rsid w:val="005A2109"/>
    <w:rsid w:val="0076150A"/>
    <w:rsid w:val="007D323A"/>
    <w:rsid w:val="00824AB6"/>
    <w:rsid w:val="00982084"/>
    <w:rsid w:val="00AE010C"/>
    <w:rsid w:val="00BC5D84"/>
    <w:rsid w:val="00C37BFF"/>
    <w:rsid w:val="00EB4AFC"/>
    <w:rsid w:val="00FA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C5D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C5D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C5D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C5D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C5D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C5D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C5D84"/>
  </w:style>
  <w:style w:type="table" w:customStyle="1" w:styleId="TableNormal">
    <w:name w:val="Table Normal"/>
    <w:rsid w:val="00BC5D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C5D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C5D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BC5D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BC5D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BC5D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18E4-3FCF-4DEE-80A6-DC7CCDAF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GKM</cp:lastModifiedBy>
  <cp:revision>5</cp:revision>
  <dcterms:created xsi:type="dcterms:W3CDTF">2020-08-08T13:20:00Z</dcterms:created>
  <dcterms:modified xsi:type="dcterms:W3CDTF">2020-08-08T14:25:00Z</dcterms:modified>
</cp:coreProperties>
</file>